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66F" w:rsidRPr="00081BC4" w:rsidRDefault="00064DEC" w:rsidP="0062666F">
      <w:pPr>
        <w:rPr>
          <w:b/>
        </w:rPr>
      </w:pPr>
      <w:r>
        <w:tab/>
      </w:r>
      <w:r>
        <w:tab/>
      </w:r>
      <w:r>
        <w:tab/>
      </w:r>
      <w:r>
        <w:tab/>
      </w:r>
      <w:r>
        <w:tab/>
      </w:r>
      <w:r w:rsidR="0062666F">
        <w:t xml:space="preserve">  </w:t>
      </w:r>
      <w:r w:rsidR="0062666F" w:rsidRPr="00081BC4">
        <w:rPr>
          <w:b/>
        </w:rPr>
        <w:t>RESOLUTION</w:t>
      </w:r>
    </w:p>
    <w:p w:rsidR="0062666F" w:rsidRDefault="0062666F" w:rsidP="0062666F">
      <w:r>
        <w:tab/>
      </w:r>
      <w:r>
        <w:tab/>
      </w:r>
    </w:p>
    <w:p w:rsidR="0062666F" w:rsidRDefault="0062666F" w:rsidP="0062666F">
      <w:r>
        <w:tab/>
        <w:t>AUTHORIZING THE AUCTION OF SURPLUS TOWNSHIP EQUIPMENT</w:t>
      </w:r>
    </w:p>
    <w:p w:rsidR="0062666F" w:rsidRDefault="0062666F" w:rsidP="0062666F"/>
    <w:p w:rsidR="0062666F" w:rsidRDefault="0062666F" w:rsidP="0062666F"/>
    <w:p w:rsidR="0062666F" w:rsidRDefault="0062666F" w:rsidP="0062666F">
      <w:r w:rsidRPr="00081BC4">
        <w:rPr>
          <w:b/>
        </w:rPr>
        <w:t>WHEREAS,</w:t>
      </w:r>
      <w:r>
        <w:t xml:space="preserve"> certain personal property of the Township of West Orange has become obsolete and is no longer fit or needed for public use; and</w:t>
      </w:r>
    </w:p>
    <w:p w:rsidR="00064DEC" w:rsidRDefault="00064DEC" w:rsidP="0062666F"/>
    <w:p w:rsidR="00064DEC" w:rsidRDefault="00064DEC" w:rsidP="0062666F">
      <w:r w:rsidRPr="00435C32">
        <w:rPr>
          <w:b/>
        </w:rPr>
        <w:t>WHEREAS,</w:t>
      </w:r>
      <w:r>
        <w:t xml:space="preserve"> an auction was approved and held on June 24, 2015</w:t>
      </w:r>
      <w:r w:rsidR="00435C32">
        <w:t xml:space="preserve"> where only</w:t>
      </w:r>
      <w:r>
        <w:t xml:space="preserve"> one bidder submitted a bid below minimum estimations</w:t>
      </w:r>
      <w:r w:rsidR="00435C32">
        <w:t xml:space="preserve"> and</w:t>
      </w:r>
      <w:r w:rsidR="001A04DA">
        <w:t xml:space="preserve"> was</w:t>
      </w:r>
      <w:r w:rsidR="00435C32">
        <w:t xml:space="preserve"> not accepted</w:t>
      </w:r>
      <w:r>
        <w:t>, and</w:t>
      </w:r>
    </w:p>
    <w:p w:rsidR="00064DEC" w:rsidRDefault="00064DEC" w:rsidP="0062666F"/>
    <w:p w:rsidR="00064DEC" w:rsidRDefault="00064DEC" w:rsidP="0062666F">
      <w:r w:rsidRPr="00435C32">
        <w:rPr>
          <w:b/>
        </w:rPr>
        <w:t>WHEREAS</w:t>
      </w:r>
      <w:r>
        <w:t xml:space="preserve">, fair market value has been </w:t>
      </w:r>
      <w:r w:rsidR="00435C32">
        <w:t>re-</w:t>
      </w:r>
      <w:r>
        <w:t>estimated and a new</w:t>
      </w:r>
      <w:r w:rsidR="00435C32">
        <w:t xml:space="preserve"> auction</w:t>
      </w:r>
      <w:r>
        <w:t xml:space="preserve"> </w:t>
      </w:r>
      <w:r w:rsidR="00435C32">
        <w:t>date set; and</w:t>
      </w:r>
    </w:p>
    <w:p w:rsidR="0062666F" w:rsidRDefault="0062666F" w:rsidP="0062666F"/>
    <w:p w:rsidR="0062666F" w:rsidRDefault="0062666F" w:rsidP="0062666F">
      <w:r w:rsidRPr="00081BC4">
        <w:rPr>
          <w:b/>
        </w:rPr>
        <w:t>WHEREAS</w:t>
      </w:r>
      <w:r>
        <w:t>,</w:t>
      </w:r>
      <w:r w:rsidR="00435C32">
        <w:t xml:space="preserve"> the</w:t>
      </w:r>
      <w:r>
        <w:t xml:space="preserve"> list vehicles, to be sold as one lot, has been provided by the West Orange Department of Public Works and has been itemized and described in the attachment Schedule (1) hereto; and</w:t>
      </w:r>
    </w:p>
    <w:p w:rsidR="0062666F" w:rsidRDefault="0062666F" w:rsidP="0062666F"/>
    <w:p w:rsidR="0062666F" w:rsidRDefault="0062666F" w:rsidP="0062666F">
      <w:r w:rsidRPr="00081BC4">
        <w:rPr>
          <w:b/>
        </w:rPr>
        <w:t>WHEREAS,</w:t>
      </w:r>
      <w:r>
        <w:t xml:space="preserve"> pursuant to the Local Public Contracts Law N.J.S.A. 40A:11-36 (1) when the fair estimated value of the property to be sold exceeds 15 percent of the bid threshold in any one sale, it shall be advertised and sold at public sale to the highest bidder; and</w:t>
      </w:r>
    </w:p>
    <w:p w:rsidR="0062666F" w:rsidRDefault="0062666F" w:rsidP="0062666F"/>
    <w:p w:rsidR="0062666F" w:rsidRDefault="0062666F" w:rsidP="0062666F">
      <w:r w:rsidRPr="00081BC4">
        <w:rPr>
          <w:b/>
        </w:rPr>
        <w:t>NOW, THEREFORE BE IT RESOLVED</w:t>
      </w:r>
      <w:r>
        <w:t xml:space="preserve"> by the West Orange Township Council and hereby in accordance with N.J.S.A. 40A:11-36 (1) etc., as follows:</w:t>
      </w:r>
    </w:p>
    <w:p w:rsidR="0062666F" w:rsidRDefault="0062666F" w:rsidP="0062666F"/>
    <w:p w:rsidR="0062666F" w:rsidRDefault="0062666F" w:rsidP="0062666F">
      <w:r>
        <w:t xml:space="preserve">Such personal property shall be advertised to receive sealed bids and sold to the highest bidder. The Township of West Orange is not responsible for the quality, condition or operability of listed personal property for sale. The auction date will be </w:t>
      </w:r>
      <w:r w:rsidR="00435C32">
        <w:t>Tuesday November 10</w:t>
      </w:r>
      <w:r>
        <w:t xml:space="preserve">, 2015 at 11:00 A.M. and will be held at the West Orange Department of Public Works, 25 Lakeside Avenue, </w:t>
      </w:r>
    </w:p>
    <w:p w:rsidR="0062666F" w:rsidRDefault="0062666F" w:rsidP="0062666F">
      <w:r>
        <w:t>West Orange, New Jersey.</w:t>
      </w:r>
    </w:p>
    <w:p w:rsidR="0062666F" w:rsidRDefault="0062666F" w:rsidP="0062666F"/>
    <w:p w:rsidR="0062666F" w:rsidRDefault="0062666F" w:rsidP="0062666F">
      <w:r>
        <w:t>All Moneys received from the sale shall be paid into the General Municipal Treasury and shall be so accounted and certified by the Chief Financial Officer.</w:t>
      </w:r>
    </w:p>
    <w:p w:rsidR="0062666F" w:rsidRDefault="0062666F" w:rsidP="0062666F"/>
    <w:p w:rsidR="0062666F" w:rsidRDefault="0062666F" w:rsidP="0062666F"/>
    <w:p w:rsidR="0062666F" w:rsidRDefault="0062666F" w:rsidP="0062666F"/>
    <w:p w:rsidR="0062666F" w:rsidRDefault="0062666F" w:rsidP="0062666F">
      <w:pPr>
        <w:tabs>
          <w:tab w:val="left" w:pos="9360"/>
        </w:tabs>
      </w:pPr>
      <w:r>
        <w:tab/>
      </w:r>
      <w:r>
        <w:tab/>
      </w:r>
      <w:r>
        <w:tab/>
        <w:t>____________________________                                        ___________________________</w:t>
      </w:r>
      <w:r>
        <w:tab/>
      </w:r>
    </w:p>
    <w:p w:rsidR="0062666F" w:rsidRDefault="0062666F" w:rsidP="0062666F">
      <w:pPr>
        <w:ind w:right="-540"/>
      </w:pPr>
      <w:r>
        <w:t>Karen Carnevale, Municipal Clerk</w:t>
      </w:r>
      <w:r>
        <w:tab/>
      </w:r>
      <w:r>
        <w:tab/>
      </w:r>
      <w:r>
        <w:tab/>
      </w:r>
      <w:r>
        <w:tab/>
        <w:t>Jerry Guarino, Council President</w:t>
      </w:r>
    </w:p>
    <w:p w:rsidR="0062666F" w:rsidRDefault="0062666F" w:rsidP="0062666F">
      <w:pPr>
        <w:ind w:right="-540"/>
      </w:pPr>
    </w:p>
    <w:p w:rsidR="0062666F" w:rsidRDefault="0062666F" w:rsidP="0062666F">
      <w:r>
        <w:br w:type="page"/>
      </w:r>
    </w:p>
    <w:tbl>
      <w:tblPr>
        <w:tblpPr w:leftFromText="180" w:rightFromText="180" w:horzAnchor="page" w:tblpX="1" w:tblpY="-524"/>
        <w:tblW w:w="15485" w:type="dxa"/>
        <w:tblLook w:val="04A0" w:firstRow="1" w:lastRow="0" w:firstColumn="1" w:lastColumn="0" w:noHBand="0" w:noVBand="1"/>
      </w:tblPr>
      <w:tblGrid>
        <w:gridCol w:w="1016"/>
        <w:gridCol w:w="3132"/>
        <w:gridCol w:w="272"/>
        <w:gridCol w:w="272"/>
        <w:gridCol w:w="272"/>
        <w:gridCol w:w="2318"/>
        <w:gridCol w:w="1563"/>
        <w:gridCol w:w="1620"/>
        <w:gridCol w:w="1360"/>
        <w:gridCol w:w="1720"/>
        <w:gridCol w:w="1940"/>
      </w:tblGrid>
      <w:tr w:rsidR="00064DEC" w:rsidRPr="00064DEC" w:rsidTr="00064DEC">
        <w:trPr>
          <w:trHeight w:val="405"/>
        </w:trPr>
        <w:tc>
          <w:tcPr>
            <w:tcW w:w="8845" w:type="dxa"/>
            <w:gridSpan w:val="7"/>
            <w:vMerge w:val="restart"/>
            <w:tcBorders>
              <w:top w:val="single" w:sz="8" w:space="0" w:color="auto"/>
              <w:left w:val="single" w:sz="8" w:space="0" w:color="auto"/>
              <w:bottom w:val="single" w:sz="8" w:space="0" w:color="000000"/>
              <w:right w:val="nil"/>
            </w:tcBorders>
            <w:shd w:val="clear" w:color="auto" w:fill="auto"/>
            <w:noWrap/>
            <w:vAlign w:val="bottom"/>
            <w:hideMark/>
          </w:tcPr>
          <w:p w:rsidR="00064DEC" w:rsidRPr="00064DEC" w:rsidRDefault="00064DEC" w:rsidP="00064DEC">
            <w:pPr>
              <w:jc w:val="center"/>
              <w:rPr>
                <w:rFonts w:ascii="Arial" w:eastAsia="Times New Roman" w:hAnsi="Arial" w:cs="Arial"/>
                <w:b/>
                <w:bCs/>
                <w:sz w:val="28"/>
                <w:szCs w:val="28"/>
              </w:rPr>
            </w:pPr>
            <w:r w:rsidRPr="00064DEC">
              <w:rPr>
                <w:rFonts w:ascii="Arial" w:eastAsia="Times New Roman" w:hAnsi="Arial" w:cs="Arial"/>
                <w:b/>
                <w:bCs/>
                <w:sz w:val="28"/>
                <w:szCs w:val="28"/>
              </w:rPr>
              <w:lastRenderedPageBreak/>
              <w:t xml:space="preserve">                                2015 AUCTION VEHICLE LIST</w:t>
            </w:r>
          </w:p>
        </w:tc>
        <w:tc>
          <w:tcPr>
            <w:tcW w:w="1620" w:type="dxa"/>
            <w:tcBorders>
              <w:top w:val="single" w:sz="8" w:space="0" w:color="auto"/>
              <w:left w:val="nil"/>
              <w:bottom w:val="nil"/>
              <w:right w:val="nil"/>
            </w:tcBorders>
            <w:shd w:val="clear" w:color="000000" w:fill="FFFFFF"/>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single" w:sz="8" w:space="0" w:color="auto"/>
              <w:left w:val="nil"/>
              <w:bottom w:val="nil"/>
              <w:right w:val="nil"/>
            </w:tcBorders>
            <w:shd w:val="clear" w:color="auto" w:fill="auto"/>
            <w:noWrap/>
            <w:vAlign w:val="bottom"/>
            <w:hideMark/>
          </w:tcPr>
          <w:p w:rsidR="00064DEC" w:rsidRDefault="00064DEC" w:rsidP="00064DEC">
            <w:pPr>
              <w:rPr>
                <w:rFonts w:ascii="Arial" w:eastAsia="Times New Roman" w:hAnsi="Arial" w:cs="Arial"/>
                <w:sz w:val="20"/>
              </w:rPr>
            </w:pPr>
            <w:r w:rsidRPr="00064DEC">
              <w:rPr>
                <w:rFonts w:ascii="Arial" w:eastAsia="Times New Roman" w:hAnsi="Arial" w:cs="Arial"/>
                <w:sz w:val="20"/>
              </w:rPr>
              <w:t> </w:t>
            </w:r>
          </w:p>
          <w:p w:rsidR="00AB6EA6" w:rsidRDefault="00AB6EA6" w:rsidP="00064DEC">
            <w:pPr>
              <w:rPr>
                <w:rFonts w:ascii="Arial" w:eastAsia="Times New Roman" w:hAnsi="Arial" w:cs="Arial"/>
                <w:sz w:val="20"/>
              </w:rPr>
            </w:pPr>
          </w:p>
          <w:p w:rsidR="00AB6EA6" w:rsidRPr="00064DEC" w:rsidRDefault="00AB6EA6" w:rsidP="00064DEC">
            <w:pPr>
              <w:rPr>
                <w:rFonts w:ascii="Arial" w:eastAsia="Times New Roman" w:hAnsi="Arial" w:cs="Arial"/>
                <w:sz w:val="20"/>
              </w:rPr>
            </w:pPr>
          </w:p>
        </w:tc>
        <w:tc>
          <w:tcPr>
            <w:tcW w:w="1720" w:type="dxa"/>
            <w:tcBorders>
              <w:top w:val="single" w:sz="8" w:space="0" w:color="auto"/>
              <w:left w:val="nil"/>
              <w:bottom w:val="nil"/>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270"/>
        </w:trPr>
        <w:tc>
          <w:tcPr>
            <w:tcW w:w="8845" w:type="dxa"/>
            <w:gridSpan w:val="7"/>
            <w:vMerge/>
            <w:tcBorders>
              <w:top w:val="single" w:sz="8" w:space="0" w:color="auto"/>
              <w:left w:val="single" w:sz="8" w:space="0" w:color="auto"/>
              <w:bottom w:val="single" w:sz="8" w:space="0" w:color="000000"/>
              <w:right w:val="nil"/>
            </w:tcBorders>
            <w:vAlign w:val="center"/>
            <w:hideMark/>
          </w:tcPr>
          <w:p w:rsidR="00064DEC" w:rsidRPr="00064DEC" w:rsidRDefault="00064DEC" w:rsidP="00064DEC">
            <w:pPr>
              <w:rPr>
                <w:rFonts w:ascii="Arial" w:eastAsia="Times New Roman" w:hAnsi="Arial" w:cs="Arial"/>
                <w:b/>
                <w:bCs/>
                <w:sz w:val="28"/>
                <w:szCs w:val="28"/>
              </w:rPr>
            </w:pPr>
          </w:p>
        </w:tc>
        <w:tc>
          <w:tcPr>
            <w:tcW w:w="1620" w:type="dxa"/>
            <w:tcBorders>
              <w:top w:val="nil"/>
              <w:left w:val="nil"/>
              <w:bottom w:val="single" w:sz="8" w:space="0" w:color="auto"/>
              <w:right w:val="nil"/>
            </w:tcBorders>
            <w:shd w:val="clear" w:color="000000" w:fill="FFFFFF"/>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330"/>
        </w:trPr>
        <w:tc>
          <w:tcPr>
            <w:tcW w:w="1016" w:type="dxa"/>
            <w:tcBorders>
              <w:top w:val="nil"/>
              <w:left w:val="single" w:sz="8" w:space="0" w:color="auto"/>
              <w:bottom w:val="single" w:sz="8" w:space="0" w:color="auto"/>
              <w:right w:val="single" w:sz="8" w:space="0" w:color="auto"/>
            </w:tcBorders>
            <w:shd w:val="clear" w:color="auto" w:fill="auto"/>
            <w:vAlign w:val="center"/>
            <w:hideMark/>
          </w:tcPr>
          <w:p w:rsidR="00064DEC" w:rsidRPr="00064DEC" w:rsidRDefault="00064DEC" w:rsidP="00064DEC">
            <w:pPr>
              <w:rPr>
                <w:rFonts w:ascii="Arial" w:eastAsia="Times New Roman" w:hAnsi="Arial" w:cs="Arial"/>
                <w:b/>
                <w:bCs/>
                <w:szCs w:val="24"/>
              </w:rPr>
            </w:pPr>
            <w:r w:rsidRPr="00064DEC">
              <w:rPr>
                <w:rFonts w:ascii="Arial" w:eastAsia="Times New Roman" w:hAnsi="Arial" w:cs="Arial"/>
                <w:b/>
                <w:bCs/>
                <w:szCs w:val="24"/>
              </w:rPr>
              <w:t>VEH</w:t>
            </w:r>
          </w:p>
        </w:tc>
        <w:tc>
          <w:tcPr>
            <w:tcW w:w="3948" w:type="dxa"/>
            <w:gridSpan w:val="4"/>
            <w:tcBorders>
              <w:top w:val="single" w:sz="8" w:space="0" w:color="auto"/>
              <w:left w:val="nil"/>
              <w:bottom w:val="nil"/>
              <w:right w:val="nil"/>
            </w:tcBorders>
            <w:shd w:val="clear" w:color="auto" w:fill="auto"/>
            <w:noWrap/>
            <w:vAlign w:val="center"/>
            <w:hideMark/>
          </w:tcPr>
          <w:p w:rsidR="00064DEC" w:rsidRPr="00064DEC" w:rsidRDefault="00064DEC" w:rsidP="00064DEC">
            <w:pPr>
              <w:jc w:val="center"/>
              <w:rPr>
                <w:rFonts w:ascii="Arial" w:eastAsia="Times New Roman" w:hAnsi="Arial" w:cs="Arial"/>
                <w:b/>
                <w:bCs/>
                <w:szCs w:val="24"/>
              </w:rPr>
            </w:pPr>
            <w:r w:rsidRPr="00064DEC">
              <w:rPr>
                <w:rFonts w:ascii="Arial" w:eastAsia="Times New Roman" w:hAnsi="Arial" w:cs="Arial"/>
                <w:b/>
                <w:bCs/>
                <w:szCs w:val="24"/>
              </w:rPr>
              <w:t>VEHICLE DESCRIPTION</w:t>
            </w:r>
          </w:p>
        </w:tc>
        <w:tc>
          <w:tcPr>
            <w:tcW w:w="2318" w:type="dxa"/>
            <w:tcBorders>
              <w:top w:val="nil"/>
              <w:left w:val="nil"/>
              <w:bottom w:val="nil"/>
              <w:right w:val="single" w:sz="8" w:space="0" w:color="auto"/>
            </w:tcBorders>
            <w:shd w:val="clear" w:color="auto" w:fill="auto"/>
            <w:noWrap/>
            <w:vAlign w:val="center"/>
            <w:hideMark/>
          </w:tcPr>
          <w:p w:rsidR="00064DEC" w:rsidRPr="00064DEC" w:rsidRDefault="00064DEC" w:rsidP="00064DEC">
            <w:pPr>
              <w:jc w:val="center"/>
              <w:rPr>
                <w:rFonts w:ascii="Arial" w:eastAsia="Times New Roman" w:hAnsi="Arial" w:cs="Arial"/>
                <w:b/>
                <w:bCs/>
                <w:szCs w:val="24"/>
              </w:rPr>
            </w:pPr>
            <w:r w:rsidRPr="00064DEC">
              <w:rPr>
                <w:rFonts w:ascii="Arial" w:eastAsia="Times New Roman" w:hAnsi="Arial" w:cs="Arial"/>
                <w:b/>
                <w:bCs/>
                <w:szCs w:val="24"/>
              </w:rPr>
              <w:t>VIN #</w:t>
            </w:r>
          </w:p>
        </w:tc>
        <w:tc>
          <w:tcPr>
            <w:tcW w:w="1563" w:type="dxa"/>
            <w:tcBorders>
              <w:top w:val="nil"/>
              <w:left w:val="nil"/>
              <w:bottom w:val="nil"/>
              <w:right w:val="single" w:sz="8" w:space="0" w:color="auto"/>
            </w:tcBorders>
            <w:shd w:val="clear" w:color="auto" w:fill="auto"/>
            <w:noWrap/>
            <w:vAlign w:val="center"/>
            <w:hideMark/>
          </w:tcPr>
          <w:p w:rsidR="00064DEC" w:rsidRPr="00064DEC" w:rsidRDefault="00064DEC" w:rsidP="00064DEC">
            <w:pPr>
              <w:jc w:val="center"/>
              <w:rPr>
                <w:rFonts w:ascii="Arial" w:eastAsia="Times New Roman" w:hAnsi="Arial" w:cs="Arial"/>
                <w:b/>
                <w:bCs/>
                <w:szCs w:val="24"/>
              </w:rPr>
            </w:pPr>
            <w:r w:rsidRPr="00064DEC">
              <w:rPr>
                <w:rFonts w:ascii="Arial" w:eastAsia="Times New Roman" w:hAnsi="Arial" w:cs="Arial"/>
                <w:b/>
                <w:bCs/>
                <w:szCs w:val="24"/>
              </w:rPr>
              <w:t>CONDITION</w:t>
            </w:r>
          </w:p>
        </w:tc>
        <w:tc>
          <w:tcPr>
            <w:tcW w:w="1620" w:type="dxa"/>
            <w:tcBorders>
              <w:top w:val="nil"/>
              <w:left w:val="nil"/>
              <w:bottom w:val="nil"/>
              <w:right w:val="single" w:sz="8" w:space="0" w:color="auto"/>
            </w:tcBorders>
            <w:shd w:val="clear" w:color="auto" w:fill="auto"/>
            <w:noWrap/>
            <w:vAlign w:val="center"/>
          </w:tcPr>
          <w:p w:rsidR="00064DEC" w:rsidRPr="00064DEC" w:rsidRDefault="00064DEC" w:rsidP="00064DEC">
            <w:pPr>
              <w:jc w:val="center"/>
              <w:rPr>
                <w:rFonts w:ascii="Arial" w:eastAsia="Times New Roman" w:hAnsi="Arial" w:cs="Arial"/>
                <w:b/>
                <w:bCs/>
                <w:szCs w:val="24"/>
              </w:rPr>
            </w:pPr>
          </w:p>
        </w:tc>
        <w:tc>
          <w:tcPr>
            <w:tcW w:w="1360" w:type="dxa"/>
            <w:tcBorders>
              <w:top w:val="nil"/>
              <w:left w:val="nil"/>
              <w:bottom w:val="single" w:sz="8" w:space="0" w:color="auto"/>
              <w:right w:val="single" w:sz="8" w:space="0" w:color="auto"/>
            </w:tcBorders>
            <w:shd w:val="clear" w:color="auto" w:fill="auto"/>
            <w:noWrap/>
            <w:vAlign w:val="center"/>
          </w:tcPr>
          <w:p w:rsidR="00064DEC" w:rsidRPr="00064DEC" w:rsidRDefault="00064DEC" w:rsidP="00064DEC">
            <w:pPr>
              <w:rPr>
                <w:rFonts w:ascii="Arial" w:eastAsia="Times New Roman" w:hAnsi="Arial" w:cs="Arial"/>
                <w:b/>
                <w:bCs/>
                <w:szCs w:val="24"/>
              </w:rPr>
            </w:pPr>
          </w:p>
        </w:tc>
        <w:tc>
          <w:tcPr>
            <w:tcW w:w="1720" w:type="dxa"/>
            <w:tcBorders>
              <w:top w:val="nil"/>
              <w:left w:val="nil"/>
              <w:bottom w:val="single" w:sz="8" w:space="0" w:color="auto"/>
              <w:right w:val="single" w:sz="8" w:space="0" w:color="auto"/>
            </w:tcBorders>
            <w:shd w:val="clear" w:color="auto" w:fill="auto"/>
            <w:noWrap/>
            <w:vAlign w:val="center"/>
          </w:tcPr>
          <w:p w:rsidR="00064DEC" w:rsidRPr="00064DEC" w:rsidRDefault="00064DEC" w:rsidP="00064DEC">
            <w:pPr>
              <w:rPr>
                <w:rFonts w:ascii="Arial" w:eastAsia="Times New Roman" w:hAnsi="Arial" w:cs="Arial"/>
                <w:b/>
                <w:bCs/>
                <w:szCs w:val="24"/>
              </w:rPr>
            </w:pPr>
          </w:p>
        </w:tc>
        <w:tc>
          <w:tcPr>
            <w:tcW w:w="1940" w:type="dxa"/>
            <w:tcBorders>
              <w:top w:val="nil"/>
              <w:left w:val="nil"/>
              <w:bottom w:val="nil"/>
              <w:right w:val="nil"/>
            </w:tcBorders>
            <w:shd w:val="clear" w:color="auto" w:fill="auto"/>
            <w:noWrap/>
            <w:vAlign w:val="center"/>
            <w:hideMark/>
          </w:tcPr>
          <w:p w:rsidR="00064DEC" w:rsidRPr="00064DEC" w:rsidRDefault="00064DEC" w:rsidP="00064DEC">
            <w:pPr>
              <w:rPr>
                <w:rFonts w:ascii="Arial" w:eastAsia="Times New Roman" w:hAnsi="Arial" w:cs="Arial"/>
                <w:b/>
                <w:bCs/>
                <w:szCs w:val="24"/>
              </w:rPr>
            </w:pPr>
          </w:p>
        </w:tc>
      </w:tr>
      <w:tr w:rsidR="00064DEC" w:rsidRPr="00064DEC" w:rsidTr="00064DEC">
        <w:trPr>
          <w:trHeight w:val="432"/>
        </w:trPr>
        <w:tc>
          <w:tcPr>
            <w:tcW w:w="1016" w:type="dxa"/>
            <w:tcBorders>
              <w:top w:val="nil"/>
              <w:left w:val="single" w:sz="8" w:space="0" w:color="auto"/>
              <w:bottom w:val="single" w:sz="4"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DPW 1A</w:t>
            </w:r>
          </w:p>
        </w:tc>
        <w:tc>
          <w:tcPr>
            <w:tcW w:w="3132" w:type="dxa"/>
            <w:tcBorders>
              <w:top w:val="single" w:sz="8" w:space="0" w:color="auto"/>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1994 Ford Dump 4X4 5cy.</w:t>
            </w:r>
          </w:p>
        </w:tc>
        <w:tc>
          <w:tcPr>
            <w:tcW w:w="272" w:type="dxa"/>
            <w:tcBorders>
              <w:top w:val="single" w:sz="8" w:space="0" w:color="auto"/>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single" w:sz="8" w:space="0" w:color="auto"/>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single" w:sz="8" w:space="0" w:color="auto"/>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1FDXK74C3RVA24682</w:t>
            </w:r>
          </w:p>
        </w:tc>
        <w:tc>
          <w:tcPr>
            <w:tcW w:w="1563" w:type="dxa"/>
            <w:tcBorders>
              <w:top w:val="single" w:sz="8" w:space="0" w:color="auto"/>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w:t>
            </w:r>
          </w:p>
        </w:tc>
        <w:tc>
          <w:tcPr>
            <w:tcW w:w="1620" w:type="dxa"/>
            <w:tcBorders>
              <w:top w:val="single" w:sz="8" w:space="0" w:color="auto"/>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DPW 86</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1994 Ford Dump 4X4 5cy.</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1FDXK74C1RVA24681</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H 16</w:t>
            </w:r>
          </w:p>
        </w:tc>
        <w:tc>
          <w:tcPr>
            <w:tcW w:w="3404" w:type="dxa"/>
            <w:gridSpan w:val="2"/>
            <w:tcBorders>
              <w:top w:val="single" w:sz="8" w:space="0" w:color="auto"/>
              <w:left w:val="single" w:sz="8" w:space="0" w:color="auto"/>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1994 Ford Tempo</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1FAPP36X2RK193789</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GOOD</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3</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2004 Ford Crown Vic.Marked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2FAFP71WX4X102629</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10</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2005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2FAFP71W25X107776</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PLO 14</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2005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2FAFP71W15X107770</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22</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2008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2FAHP71V98X164027</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25</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2005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2FAFP71W95X107774</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27</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2004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2FAFP71W24X102625</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29</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2003 Ford Crown Vic.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2FAFP71W73X135618</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109</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Ford Car 1999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2FAFP71WXXX203030</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POL 304</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Ford Car 2001 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2FAFP71W41X180514</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FAIR-RUNS</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FIRE E 5</w:t>
            </w:r>
          </w:p>
        </w:tc>
        <w:tc>
          <w:tcPr>
            <w:tcW w:w="313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1990 Seagrave Pumper</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1F9EX28J5LCST2092</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MOTOR</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POL 103</w:t>
            </w:r>
          </w:p>
        </w:tc>
        <w:tc>
          <w:tcPr>
            <w:tcW w:w="31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2001 Ford Explorer 4X4 Unmarked</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1FMZU72E31ZA69691</w:t>
            </w:r>
          </w:p>
        </w:tc>
        <w:tc>
          <w:tcPr>
            <w:tcW w:w="1563"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POOR</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jc w:val="right"/>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single" w:sz="8" w:space="0" w:color="auto"/>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360" w:type="dxa"/>
            <w:tcBorders>
              <w:top w:val="nil"/>
              <w:left w:val="nil"/>
              <w:bottom w:val="single" w:sz="8" w:space="0" w:color="auto"/>
              <w:right w:val="single" w:sz="8" w:space="0" w:color="auto"/>
            </w:tcBorders>
            <w:shd w:val="clear" w:color="auto" w:fill="auto"/>
            <w:noWrap/>
            <w:vAlign w:val="bottom"/>
          </w:tcPr>
          <w:p w:rsidR="00064DEC" w:rsidRPr="00064DEC" w:rsidRDefault="00064DEC" w:rsidP="00064DEC">
            <w:pPr>
              <w:rPr>
                <w:rFonts w:ascii="Arial" w:eastAsia="Times New Roman" w:hAnsi="Arial" w:cs="Arial"/>
                <w:sz w:val="20"/>
              </w:rPr>
            </w:pP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Pr>
                <w:rFonts w:ascii="Arial" w:eastAsia="Times New Roman" w:hAnsi="Arial" w:cs="Arial"/>
                <w:sz w:val="20"/>
              </w:rPr>
              <w:t>Total estimate fair market value $6,500.00</w:t>
            </w: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jc w:val="cente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r w:rsidR="00064DEC" w:rsidRPr="00064DEC" w:rsidTr="00064DEC">
        <w:trPr>
          <w:trHeight w:val="432"/>
        </w:trPr>
        <w:tc>
          <w:tcPr>
            <w:tcW w:w="1016"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b/>
                <w:bCs/>
                <w:szCs w:val="24"/>
              </w:rPr>
            </w:pPr>
            <w:r w:rsidRPr="00064DEC">
              <w:rPr>
                <w:rFonts w:ascii="Arial" w:eastAsia="Times New Roman" w:hAnsi="Arial" w:cs="Arial"/>
                <w:b/>
                <w:bCs/>
                <w:szCs w:val="24"/>
              </w:rPr>
              <w:t>TOTAL</w:t>
            </w:r>
          </w:p>
        </w:tc>
        <w:tc>
          <w:tcPr>
            <w:tcW w:w="313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72"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2318" w:type="dxa"/>
            <w:tcBorders>
              <w:top w:val="nil"/>
              <w:left w:val="single" w:sz="8" w:space="0" w:color="auto"/>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6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36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jc w:val="right"/>
              <w:rPr>
                <w:rFonts w:ascii="Arial" w:eastAsia="Times New Roman" w:hAnsi="Arial" w:cs="Arial"/>
                <w:sz w:val="20"/>
              </w:rPr>
            </w:pPr>
            <w:r w:rsidRPr="00064DEC">
              <w:rPr>
                <w:rFonts w:ascii="Arial" w:eastAsia="Times New Roman" w:hAnsi="Arial" w:cs="Arial"/>
                <w:sz w:val="20"/>
              </w:rPr>
              <w:t>$0.00</w:t>
            </w:r>
          </w:p>
        </w:tc>
        <w:tc>
          <w:tcPr>
            <w:tcW w:w="1720" w:type="dxa"/>
            <w:tcBorders>
              <w:top w:val="nil"/>
              <w:left w:val="nil"/>
              <w:bottom w:val="single" w:sz="8" w:space="0" w:color="auto"/>
              <w:right w:val="single" w:sz="8" w:space="0" w:color="auto"/>
            </w:tcBorders>
            <w:shd w:val="clear" w:color="auto" w:fill="auto"/>
            <w:noWrap/>
            <w:vAlign w:val="bottom"/>
            <w:hideMark/>
          </w:tcPr>
          <w:p w:rsidR="00064DEC" w:rsidRPr="00064DEC" w:rsidRDefault="00064DEC" w:rsidP="00064DEC">
            <w:pPr>
              <w:jc w:val="right"/>
              <w:rPr>
                <w:rFonts w:ascii="Arial" w:eastAsia="Times New Roman" w:hAnsi="Arial" w:cs="Arial"/>
                <w:sz w:val="20"/>
              </w:rPr>
            </w:pPr>
            <w:r w:rsidRPr="00064DEC">
              <w:rPr>
                <w:rFonts w:ascii="Arial" w:eastAsia="Times New Roman" w:hAnsi="Arial" w:cs="Arial"/>
                <w:sz w:val="20"/>
              </w:rPr>
              <w:t>$0.00</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jc w:val="right"/>
              <w:rPr>
                <w:rFonts w:ascii="Arial" w:eastAsia="Times New Roman" w:hAnsi="Arial" w:cs="Arial"/>
                <w:sz w:val="20"/>
              </w:rPr>
            </w:pPr>
          </w:p>
        </w:tc>
      </w:tr>
      <w:tr w:rsidR="00064DEC" w:rsidRPr="00064DEC" w:rsidTr="00064DEC">
        <w:trPr>
          <w:trHeight w:val="255"/>
        </w:trPr>
        <w:tc>
          <w:tcPr>
            <w:tcW w:w="1016"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3132"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272"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272"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272"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2318"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563"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c>
          <w:tcPr>
            <w:tcW w:w="1620"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1360" w:type="dxa"/>
            <w:tcBorders>
              <w:top w:val="nil"/>
              <w:left w:val="nil"/>
              <w:bottom w:val="nil"/>
              <w:right w:val="nil"/>
            </w:tcBorders>
            <w:shd w:val="clear" w:color="auto" w:fill="auto"/>
            <w:noWrap/>
            <w:vAlign w:val="bottom"/>
            <w:hideMark/>
          </w:tcPr>
          <w:p w:rsidR="00064DEC" w:rsidRPr="00064DEC" w:rsidRDefault="00064DEC" w:rsidP="00064DEC">
            <w:pPr>
              <w:rPr>
                <w:rFonts w:eastAsia="Times New Roman"/>
                <w:sz w:val="20"/>
              </w:rPr>
            </w:pPr>
          </w:p>
        </w:tc>
        <w:tc>
          <w:tcPr>
            <w:tcW w:w="172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r w:rsidRPr="00064DEC">
              <w:rPr>
                <w:rFonts w:ascii="Arial" w:eastAsia="Times New Roman" w:hAnsi="Arial" w:cs="Arial"/>
                <w:sz w:val="20"/>
              </w:rPr>
              <w:t> </w:t>
            </w:r>
          </w:p>
        </w:tc>
        <w:tc>
          <w:tcPr>
            <w:tcW w:w="1940" w:type="dxa"/>
            <w:tcBorders>
              <w:top w:val="nil"/>
              <w:left w:val="nil"/>
              <w:bottom w:val="nil"/>
              <w:right w:val="nil"/>
            </w:tcBorders>
            <w:shd w:val="clear" w:color="auto" w:fill="auto"/>
            <w:noWrap/>
            <w:vAlign w:val="bottom"/>
            <w:hideMark/>
          </w:tcPr>
          <w:p w:rsidR="00064DEC" w:rsidRPr="00064DEC" w:rsidRDefault="00064DEC" w:rsidP="00064DEC">
            <w:pPr>
              <w:rPr>
                <w:rFonts w:ascii="Arial" w:eastAsia="Times New Roman" w:hAnsi="Arial" w:cs="Arial"/>
                <w:sz w:val="20"/>
              </w:rPr>
            </w:pPr>
          </w:p>
        </w:tc>
      </w:tr>
    </w:tbl>
    <w:p w:rsidR="00F927F4" w:rsidRDefault="00AB6EA6">
      <w:bookmarkStart w:id="0" w:name="_GoBack"/>
      <w:bookmarkEnd w:id="0"/>
    </w:p>
    <w:sectPr w:rsidR="00F927F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6DFA" w:rsidRDefault="00F36DFA" w:rsidP="00F36DFA">
      <w:r>
        <w:separator/>
      </w:r>
    </w:p>
  </w:endnote>
  <w:endnote w:type="continuationSeparator" w:id="0">
    <w:p w:rsidR="00F36DFA" w:rsidRDefault="00F36DFA" w:rsidP="00F36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6DFA" w:rsidRDefault="00F36DFA" w:rsidP="00F36DFA">
      <w:r>
        <w:separator/>
      </w:r>
    </w:p>
  </w:footnote>
  <w:footnote w:type="continuationSeparator" w:id="0">
    <w:p w:rsidR="00F36DFA" w:rsidRDefault="00F36DFA" w:rsidP="00F36D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DFA" w:rsidRDefault="00F36DFA" w:rsidP="00F36DFA">
    <w:pPr>
      <w:pStyle w:val="Header"/>
      <w:jc w:val="right"/>
    </w:pPr>
    <w:r>
      <w:t>255-15</w:t>
    </w:r>
  </w:p>
  <w:p w:rsidR="00AB6EA6" w:rsidRDefault="00AB6EA6" w:rsidP="00F36DFA">
    <w:pPr>
      <w:pStyle w:val="Header"/>
      <w:jc w:val="right"/>
    </w:pPr>
    <w:r>
      <w:t>October 27</w:t>
    </w:r>
    <w:proofErr w:type="gramStart"/>
    <w:r>
      <w:t>,2015</w:t>
    </w:r>
    <w:proofErr w:type="gramEnd"/>
  </w:p>
  <w:p w:rsidR="00F36DFA" w:rsidRDefault="00F36D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66F"/>
    <w:rsid w:val="00064DEC"/>
    <w:rsid w:val="001A04DA"/>
    <w:rsid w:val="002D08AD"/>
    <w:rsid w:val="00435C32"/>
    <w:rsid w:val="00514D1C"/>
    <w:rsid w:val="00534164"/>
    <w:rsid w:val="00570C64"/>
    <w:rsid w:val="005C471F"/>
    <w:rsid w:val="0062666F"/>
    <w:rsid w:val="007B3B9C"/>
    <w:rsid w:val="00AB6EA6"/>
    <w:rsid w:val="00C12A6C"/>
    <w:rsid w:val="00D930E8"/>
    <w:rsid w:val="00DD5714"/>
    <w:rsid w:val="00F36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683F7-6A73-4B1C-85FE-0D1B2EC5A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66F"/>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DFA"/>
    <w:pPr>
      <w:tabs>
        <w:tab w:val="center" w:pos="4680"/>
        <w:tab w:val="right" w:pos="9360"/>
      </w:tabs>
    </w:pPr>
  </w:style>
  <w:style w:type="character" w:customStyle="1" w:styleId="HeaderChar">
    <w:name w:val="Header Char"/>
    <w:basedOn w:val="DefaultParagraphFont"/>
    <w:link w:val="Header"/>
    <w:uiPriority w:val="99"/>
    <w:rsid w:val="00F36DFA"/>
    <w:rPr>
      <w:rFonts w:ascii="Times New Roman" w:hAnsi="Times New Roman" w:cs="Times New Roman"/>
      <w:sz w:val="24"/>
      <w:szCs w:val="20"/>
    </w:rPr>
  </w:style>
  <w:style w:type="paragraph" w:styleId="Footer">
    <w:name w:val="footer"/>
    <w:basedOn w:val="Normal"/>
    <w:link w:val="FooterChar"/>
    <w:uiPriority w:val="99"/>
    <w:unhideWhenUsed/>
    <w:rsid w:val="00F36DFA"/>
    <w:pPr>
      <w:tabs>
        <w:tab w:val="center" w:pos="4680"/>
        <w:tab w:val="right" w:pos="9360"/>
      </w:tabs>
    </w:pPr>
  </w:style>
  <w:style w:type="character" w:customStyle="1" w:styleId="FooterChar">
    <w:name w:val="Footer Char"/>
    <w:basedOn w:val="DefaultParagraphFont"/>
    <w:link w:val="Footer"/>
    <w:uiPriority w:val="99"/>
    <w:rsid w:val="00F36DFA"/>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DeSantis</dc:creator>
  <cp:keywords/>
  <dc:description/>
  <cp:lastModifiedBy>Fatima Baez-Aguilar</cp:lastModifiedBy>
  <cp:revision>4</cp:revision>
  <dcterms:created xsi:type="dcterms:W3CDTF">2015-10-21T19:02:00Z</dcterms:created>
  <dcterms:modified xsi:type="dcterms:W3CDTF">2015-10-21T20:09:00Z</dcterms:modified>
</cp:coreProperties>
</file>